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D03" w:rsidRPr="00EF4D03" w:rsidRDefault="00EF4D03" w:rsidP="00EF4D03">
      <w:pPr>
        <w:spacing w:after="0" w:line="240" w:lineRule="auto"/>
        <w:rPr>
          <w:rFonts w:ascii="Arial" w:eastAsia="Times New Roman" w:hAnsi="Arial" w:cs="Arial"/>
          <w:sz w:val="20"/>
          <w:szCs w:val="20"/>
        </w:rPr>
      </w:pPr>
      <w:r w:rsidRPr="00EF4D03">
        <w:rPr>
          <w:rFonts w:ascii="Arial" w:eastAsia="Times New Roman" w:hAnsi="Arial" w:cs="Arial"/>
          <w:sz w:val="20"/>
          <w:szCs w:val="20"/>
          <w:highlight w:val="yellow"/>
        </w:rPr>
        <w:t>POST # 1</w:t>
      </w:r>
    </w:p>
    <w:p w:rsidR="00EF4D03" w:rsidRPr="00EF4D03" w:rsidRDefault="00EF4D03" w:rsidP="00EF4D03">
      <w:pPr>
        <w:spacing w:after="0" w:line="240" w:lineRule="auto"/>
        <w:rPr>
          <w:rFonts w:ascii="Arial" w:eastAsia="Times New Roman" w:hAnsi="Arial" w:cs="Arial"/>
          <w:sz w:val="20"/>
          <w:szCs w:val="20"/>
        </w:rPr>
      </w:pPr>
    </w:p>
    <w:p w:rsidR="00EF4D03" w:rsidRPr="00EF4D03" w:rsidRDefault="00EF4D03" w:rsidP="00EF4D03">
      <w:pPr>
        <w:spacing w:after="0" w:line="240" w:lineRule="auto"/>
        <w:rPr>
          <w:rFonts w:ascii="Arial" w:eastAsia="Times New Roman" w:hAnsi="Arial" w:cs="Arial"/>
          <w:sz w:val="20"/>
          <w:szCs w:val="20"/>
        </w:rPr>
      </w:pPr>
    </w:p>
    <w:p w:rsidR="00EF4D03" w:rsidRPr="00EF4D03" w:rsidRDefault="00EF4D03" w:rsidP="00EF4D03">
      <w:pPr>
        <w:spacing w:after="0" w:line="240" w:lineRule="auto"/>
        <w:rPr>
          <w:rFonts w:ascii="Arial" w:eastAsia="Times New Roman" w:hAnsi="Arial" w:cs="Arial"/>
          <w:sz w:val="20"/>
          <w:szCs w:val="20"/>
        </w:rPr>
      </w:pPr>
      <w:r w:rsidRPr="00EF4D03">
        <w:rPr>
          <w:rFonts w:ascii="Arial" w:eastAsia="Times New Roman" w:hAnsi="Arial" w:cs="Arial"/>
          <w:sz w:val="20"/>
          <w:szCs w:val="20"/>
        </w:rPr>
        <w:t xml:space="preserve">Celeste Joseph </w:t>
      </w:r>
    </w:p>
    <w:p w:rsidR="00EF4D03" w:rsidRPr="00EF4D03" w:rsidRDefault="00EF4D03" w:rsidP="00EF4D03">
      <w:pPr>
        <w:spacing w:after="0" w:line="240" w:lineRule="auto"/>
        <w:rPr>
          <w:rFonts w:ascii="Arial" w:eastAsia="Times New Roman" w:hAnsi="Arial" w:cs="Arial"/>
          <w:sz w:val="20"/>
          <w:szCs w:val="20"/>
        </w:rPr>
      </w:pPr>
      <w:r w:rsidRPr="00EF4D03">
        <w:rPr>
          <w:rFonts w:ascii="Arial" w:eastAsia="Times New Roman" w:hAnsi="Arial" w:cs="Arial"/>
          <w:sz w:val="20"/>
          <w:szCs w:val="20"/>
        </w:rPr>
        <w:t xml:space="preserve">DB: Forum 1 </w:t>
      </w:r>
    </w:p>
    <w:p w:rsidR="00EF4D03" w:rsidRPr="00EF4D03" w:rsidRDefault="00EF4D03" w:rsidP="00EF4D03">
      <w:pPr>
        <w:spacing w:after="0" w:line="240" w:lineRule="auto"/>
        <w:rPr>
          <w:rFonts w:ascii="Arial" w:eastAsia="Times New Roman" w:hAnsi="Arial" w:cs="Arial"/>
          <w:sz w:val="20"/>
          <w:szCs w:val="20"/>
        </w:rPr>
      </w:pPr>
      <w:hyperlink r:id="rId4" w:history="1">
        <w:r w:rsidRPr="00EF4D03">
          <w:rPr>
            <w:rFonts w:ascii="Arial" w:eastAsia="Times New Roman" w:hAnsi="Arial" w:cs="Arial"/>
            <w:color w:val="0000FF"/>
            <w:sz w:val="20"/>
            <w:szCs w:val="20"/>
            <w:u w:val="single"/>
          </w:rPr>
          <w:t>Collapse</w:t>
        </w:r>
      </w:hyperlink>
    </w:p>
    <w:p w:rsidR="00EF4D03" w:rsidRPr="00EF4D03" w:rsidRDefault="00EF4D03" w:rsidP="00EF4D03">
      <w:pPr>
        <w:pBdr>
          <w:bottom w:val="single" w:sz="6" w:space="1" w:color="auto"/>
        </w:pBdr>
        <w:spacing w:after="0" w:line="240" w:lineRule="auto"/>
        <w:jc w:val="center"/>
        <w:rPr>
          <w:rFonts w:ascii="Arial" w:eastAsia="Times New Roman" w:hAnsi="Arial" w:cs="Arial"/>
          <w:vanish/>
          <w:sz w:val="20"/>
          <w:szCs w:val="20"/>
        </w:rPr>
      </w:pPr>
      <w:r w:rsidRPr="00EF4D03">
        <w:rPr>
          <w:rFonts w:ascii="Arial" w:eastAsia="Times New Roman" w:hAnsi="Arial" w:cs="Arial"/>
          <w:vanish/>
          <w:sz w:val="20"/>
          <w:szCs w:val="20"/>
        </w:rPr>
        <w:t>Top of Form</w:t>
      </w:r>
    </w:p>
    <w:p w:rsidR="00EF4D03" w:rsidRPr="00EF4D03" w:rsidRDefault="00EF4D03" w:rsidP="00EF4D03">
      <w:pPr>
        <w:spacing w:before="100" w:beforeAutospacing="1" w:after="100" w:afterAutospacing="1" w:line="240" w:lineRule="auto"/>
        <w:jc w:val="center"/>
        <w:rPr>
          <w:rFonts w:ascii="Arial" w:eastAsia="Times New Roman" w:hAnsi="Arial" w:cs="Arial"/>
          <w:sz w:val="20"/>
          <w:szCs w:val="20"/>
        </w:rPr>
      </w:pPr>
      <w:r w:rsidRPr="00EF4D03">
        <w:rPr>
          <w:rFonts w:ascii="Arial" w:eastAsia="Times New Roman" w:hAnsi="Arial" w:cs="Arial"/>
          <w:b/>
          <w:bCs/>
          <w:sz w:val="20"/>
          <w:szCs w:val="20"/>
        </w:rPr>
        <w:t> Forum 1</w:t>
      </w:r>
    </w:p>
    <w:p w:rsidR="00EF4D03" w:rsidRPr="00EF4D03" w:rsidRDefault="00EF4D03" w:rsidP="00EF4D03">
      <w:pPr>
        <w:spacing w:before="100" w:beforeAutospacing="1" w:after="100" w:afterAutospacing="1" w:line="240" w:lineRule="auto"/>
        <w:rPr>
          <w:rFonts w:ascii="Arial" w:eastAsia="Times New Roman" w:hAnsi="Arial" w:cs="Arial"/>
          <w:sz w:val="20"/>
          <w:szCs w:val="20"/>
        </w:rPr>
      </w:pPr>
      <w:r w:rsidRPr="00EF4D03">
        <w:rPr>
          <w:rFonts w:ascii="Arial" w:eastAsia="Times New Roman" w:hAnsi="Arial" w:cs="Arial"/>
          <w:sz w:val="20"/>
          <w:szCs w:val="20"/>
        </w:rPr>
        <w:t xml:space="preserve">Culture and leadership influence the success of the coaching process. These two factors can undermine coaching efforts regardless of the size of the organization. Some organizations acknowledge the importance of coaching and have leaders who engage in the process. In such organizations, several leaders ask for coaching as they consider it an opportunity to advance their careers and improve their future (Hunt &amp; Weintraub, 2017). However, some organizations do not recognize coaching and view it as an exit strategy for leaders. </w:t>
      </w:r>
    </w:p>
    <w:p w:rsidR="00EF4D03" w:rsidRPr="00EF4D03" w:rsidRDefault="00EF4D03" w:rsidP="00EF4D03">
      <w:pPr>
        <w:spacing w:before="100" w:beforeAutospacing="1" w:after="100" w:afterAutospacing="1" w:line="240" w:lineRule="auto"/>
        <w:rPr>
          <w:rFonts w:ascii="Arial" w:eastAsia="Times New Roman" w:hAnsi="Arial" w:cs="Arial"/>
          <w:sz w:val="20"/>
          <w:szCs w:val="20"/>
        </w:rPr>
      </w:pPr>
      <w:r w:rsidRPr="00EF4D03">
        <w:rPr>
          <w:rFonts w:ascii="Arial" w:eastAsia="Times New Roman" w:hAnsi="Arial" w:cs="Arial"/>
          <w:sz w:val="20"/>
          <w:szCs w:val="20"/>
        </w:rPr>
        <w:t>Coaches cannot visit on-site while leaders cannot share what they learn during coaching sessions. Organizational culture determines whether an organization acknowledges the importance of coaching. Organizations with well-developed coaching methods highlight the importance of culture in supporting coaching and people development. The implementation of coaching in an organization relies on its culture. Therefore, organizations should create a culture that encourages coaching and personal development (Hunt &amp; Weintraub, 2017). Companies that invest in leadership coaching have leaders who are skilled in coaching their subordinates. Such organizations have a better succession plan, talent development, and leadership development programs.</w:t>
      </w:r>
    </w:p>
    <w:p w:rsidR="00EF4D03" w:rsidRPr="00EF4D03" w:rsidRDefault="00EF4D03" w:rsidP="00EF4D03">
      <w:pPr>
        <w:spacing w:before="100" w:beforeAutospacing="1" w:after="100" w:afterAutospacing="1" w:line="240" w:lineRule="auto"/>
        <w:rPr>
          <w:rFonts w:ascii="Arial" w:eastAsia="Times New Roman" w:hAnsi="Arial" w:cs="Arial"/>
          <w:sz w:val="20"/>
          <w:szCs w:val="20"/>
        </w:rPr>
      </w:pPr>
      <w:r w:rsidRPr="00EF4D03">
        <w:rPr>
          <w:rFonts w:ascii="Arial" w:eastAsia="Times New Roman" w:hAnsi="Arial" w:cs="Arial"/>
          <w:sz w:val="20"/>
          <w:szCs w:val="20"/>
        </w:rPr>
        <w:t>Coaching is an activity that occurs between a manager and a direct report. Both parties share the responsibility involved in such a partnership. Organizational leaders use this approach to express their concern toward employees’ strengths and the challenges they encounter. Coaching involves inquiry and exploration rather than dictating answers to a particular situation. Managers should acquaint themselves with the Coaching Manager Model basics and the basics of developmental coaching (Underhill et al., 2007). Coaching is a means through which a leader can improve learning and development to improve present and future performance. Managers can practice developmental coaching to enhance employee development within an organization. Employees should also support and embrace talent development to ensure that they become more competent in their roles. Coaching and learning form a critical part of an effective manager-employee relationship (Underhill et al., 2007). Therefore, managers should coach their employees to ensure that they become more competent.</w:t>
      </w:r>
    </w:p>
    <w:p w:rsidR="00EF4D03" w:rsidRPr="00EF4D03" w:rsidRDefault="00EF4D03" w:rsidP="00EF4D03">
      <w:pPr>
        <w:spacing w:before="100" w:beforeAutospacing="1" w:after="100" w:afterAutospacing="1" w:line="240" w:lineRule="auto"/>
        <w:jc w:val="center"/>
        <w:rPr>
          <w:rFonts w:ascii="Arial" w:eastAsia="Times New Roman" w:hAnsi="Arial" w:cs="Arial"/>
          <w:sz w:val="20"/>
          <w:szCs w:val="20"/>
        </w:rPr>
      </w:pPr>
      <w:r w:rsidRPr="00EF4D03">
        <w:rPr>
          <w:rFonts w:ascii="Arial" w:eastAsia="Times New Roman" w:hAnsi="Arial" w:cs="Arial"/>
          <w:sz w:val="20"/>
          <w:szCs w:val="20"/>
        </w:rPr>
        <w:t> </w:t>
      </w:r>
      <w:r w:rsidRPr="00EF4D03">
        <w:rPr>
          <w:rFonts w:ascii="Arial" w:eastAsia="Times New Roman" w:hAnsi="Arial" w:cs="Arial"/>
          <w:b/>
          <w:bCs/>
          <w:sz w:val="20"/>
          <w:szCs w:val="20"/>
        </w:rPr>
        <w:t>References</w:t>
      </w:r>
    </w:p>
    <w:p w:rsidR="00EF4D03" w:rsidRPr="00EF4D03" w:rsidRDefault="00EF4D03" w:rsidP="00EF4D03">
      <w:pPr>
        <w:spacing w:before="100" w:beforeAutospacing="1" w:after="100" w:afterAutospacing="1" w:line="240" w:lineRule="auto"/>
        <w:rPr>
          <w:rFonts w:ascii="Arial" w:eastAsia="Times New Roman" w:hAnsi="Arial" w:cs="Arial"/>
          <w:sz w:val="20"/>
          <w:szCs w:val="20"/>
        </w:rPr>
      </w:pPr>
      <w:r w:rsidRPr="00EF4D03">
        <w:rPr>
          <w:rFonts w:ascii="Arial" w:eastAsia="Times New Roman" w:hAnsi="Arial" w:cs="Arial"/>
          <w:sz w:val="20"/>
          <w:szCs w:val="20"/>
        </w:rPr>
        <w:t xml:space="preserve">Hunt, J., &amp; Weintraub, J. (2017). The coaching manager: Developing Top Talent in Business       (3rd </w:t>
      </w:r>
      <w:proofErr w:type="gramStart"/>
      <w:r w:rsidRPr="00EF4D03">
        <w:rPr>
          <w:rFonts w:ascii="Arial" w:eastAsia="Times New Roman" w:hAnsi="Arial" w:cs="Arial"/>
          <w:sz w:val="20"/>
          <w:szCs w:val="20"/>
        </w:rPr>
        <w:t>ed</w:t>
      </w:r>
      <w:proofErr w:type="gramEnd"/>
      <w:r w:rsidRPr="00EF4D03">
        <w:rPr>
          <w:rFonts w:ascii="Arial" w:eastAsia="Times New Roman" w:hAnsi="Arial" w:cs="Arial"/>
          <w:sz w:val="20"/>
          <w:szCs w:val="20"/>
        </w:rPr>
        <w:t>.). London: Sage.</w:t>
      </w:r>
    </w:p>
    <w:p w:rsidR="00EF4D03" w:rsidRPr="00EF4D03" w:rsidRDefault="00EF4D03" w:rsidP="00EF4D03">
      <w:pPr>
        <w:spacing w:before="100" w:beforeAutospacing="1" w:after="100" w:afterAutospacing="1" w:line="240" w:lineRule="auto"/>
        <w:rPr>
          <w:rFonts w:ascii="Arial" w:eastAsia="Times New Roman" w:hAnsi="Arial" w:cs="Arial"/>
          <w:sz w:val="20"/>
          <w:szCs w:val="20"/>
        </w:rPr>
      </w:pPr>
      <w:r w:rsidRPr="00EF4D03">
        <w:rPr>
          <w:rFonts w:ascii="Arial" w:eastAsia="Times New Roman" w:hAnsi="Arial" w:cs="Arial"/>
          <w:sz w:val="20"/>
          <w:szCs w:val="20"/>
        </w:rPr>
        <w:t xml:space="preserve">Underhill, B.,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K.,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xml:space="preserve">, J. (2007). Executive coaching for results: The     Definitive Guide to Developing Organizational Leaders. San Francisco: </w:t>
      </w:r>
      <w:proofErr w:type="spellStart"/>
      <w:r w:rsidRPr="00EF4D03">
        <w:rPr>
          <w:rFonts w:ascii="Arial" w:eastAsia="Times New Roman" w:hAnsi="Arial" w:cs="Arial"/>
          <w:sz w:val="20"/>
          <w:szCs w:val="20"/>
        </w:rPr>
        <w:t>Berrett</w:t>
      </w:r>
      <w:proofErr w:type="spellEnd"/>
      <w:r w:rsidRPr="00EF4D03">
        <w:rPr>
          <w:rFonts w:ascii="Arial" w:eastAsia="Times New Roman" w:hAnsi="Arial" w:cs="Arial"/>
          <w:sz w:val="20"/>
          <w:szCs w:val="20"/>
        </w:rPr>
        <w:t>-            Koehler Publishers.</w:t>
      </w:r>
    </w:p>
    <w:p w:rsidR="00EF4D03" w:rsidRPr="00EF4D03" w:rsidRDefault="00EF4D03" w:rsidP="00EF4D03">
      <w:pPr>
        <w:pBdr>
          <w:top w:val="single" w:sz="6" w:space="1" w:color="auto"/>
        </w:pBdr>
        <w:spacing w:after="0" w:line="240" w:lineRule="auto"/>
        <w:rPr>
          <w:rFonts w:ascii="Arial" w:eastAsia="Times New Roman" w:hAnsi="Arial" w:cs="Arial"/>
          <w:sz w:val="20"/>
          <w:szCs w:val="20"/>
        </w:rPr>
      </w:pPr>
    </w:p>
    <w:p w:rsidR="00EF4D03" w:rsidRPr="00EF4D03" w:rsidRDefault="00EF4D03" w:rsidP="00EF4D03">
      <w:pPr>
        <w:pBdr>
          <w:top w:val="single" w:sz="6" w:space="1" w:color="auto"/>
        </w:pBdr>
        <w:spacing w:after="0" w:line="240" w:lineRule="auto"/>
        <w:rPr>
          <w:rFonts w:ascii="Arial" w:eastAsia="Times New Roman" w:hAnsi="Arial" w:cs="Arial"/>
          <w:vanish/>
          <w:sz w:val="20"/>
          <w:szCs w:val="20"/>
        </w:rPr>
      </w:pPr>
      <w:r w:rsidRPr="00EF4D03">
        <w:rPr>
          <w:rFonts w:ascii="Arial" w:eastAsia="Times New Roman" w:hAnsi="Arial" w:cs="Arial"/>
          <w:sz w:val="20"/>
          <w:szCs w:val="20"/>
          <w:highlight w:val="yellow"/>
        </w:rPr>
        <w:t xml:space="preserve">Post #2 </w:t>
      </w:r>
      <w:r w:rsidRPr="00EF4D03">
        <w:rPr>
          <w:rFonts w:ascii="Arial" w:eastAsia="Times New Roman" w:hAnsi="Arial" w:cs="Arial"/>
          <w:vanish/>
          <w:sz w:val="20"/>
          <w:szCs w:val="20"/>
          <w:highlight w:val="yellow"/>
        </w:rPr>
        <w:t>Bottom</w:t>
      </w:r>
      <w:r w:rsidRPr="00EF4D03">
        <w:rPr>
          <w:rFonts w:ascii="Arial" w:eastAsia="Times New Roman" w:hAnsi="Arial" w:cs="Arial"/>
          <w:vanish/>
          <w:sz w:val="20"/>
          <w:szCs w:val="20"/>
        </w:rPr>
        <w:t xml:space="preserve"> of Form</w:t>
      </w:r>
    </w:p>
    <w:p w:rsidR="00EF4D03" w:rsidRPr="00EF4D03" w:rsidRDefault="00EF4D03" w:rsidP="00EF4D03">
      <w:pPr>
        <w:pBdr>
          <w:top w:val="single" w:sz="6" w:space="1" w:color="auto"/>
        </w:pBdr>
        <w:spacing w:after="0" w:line="240" w:lineRule="auto"/>
        <w:rPr>
          <w:rFonts w:ascii="Arial" w:eastAsia="Times New Roman" w:hAnsi="Arial" w:cs="Arial"/>
          <w:vanish/>
          <w:sz w:val="20"/>
          <w:szCs w:val="20"/>
        </w:rPr>
      </w:pPr>
    </w:p>
    <w:p w:rsidR="00EF4D03" w:rsidRPr="00EF4D03" w:rsidRDefault="00EF4D03" w:rsidP="00EF4D03">
      <w:pPr>
        <w:pBdr>
          <w:top w:val="single" w:sz="6" w:space="1" w:color="auto"/>
        </w:pBdr>
        <w:spacing w:after="0" w:line="240" w:lineRule="auto"/>
        <w:rPr>
          <w:rFonts w:ascii="Arial" w:eastAsia="Times New Roman" w:hAnsi="Arial" w:cs="Arial"/>
          <w:sz w:val="20"/>
          <w:szCs w:val="20"/>
        </w:rPr>
      </w:pPr>
    </w:p>
    <w:p w:rsidR="00EF4D03" w:rsidRPr="00EF4D03" w:rsidRDefault="00EF4D03" w:rsidP="00EF4D03">
      <w:pPr>
        <w:pBdr>
          <w:top w:val="single" w:sz="6" w:space="1" w:color="auto"/>
        </w:pBdr>
        <w:spacing w:after="0" w:line="240" w:lineRule="auto"/>
        <w:rPr>
          <w:rFonts w:ascii="Arial" w:eastAsia="Times New Roman" w:hAnsi="Arial" w:cs="Arial"/>
          <w:sz w:val="20"/>
          <w:szCs w:val="20"/>
        </w:rPr>
      </w:pPr>
    </w:p>
    <w:p w:rsidR="00EF4D03" w:rsidRPr="00EF4D03" w:rsidRDefault="00EF4D03" w:rsidP="00EF4D03">
      <w:pPr>
        <w:spacing w:after="0" w:line="240" w:lineRule="auto"/>
        <w:rPr>
          <w:rFonts w:ascii="Arial" w:eastAsia="Times New Roman" w:hAnsi="Arial" w:cs="Arial"/>
          <w:sz w:val="20"/>
          <w:szCs w:val="20"/>
        </w:rPr>
      </w:pPr>
      <w:r w:rsidRPr="00EF4D03">
        <w:rPr>
          <w:rFonts w:ascii="Arial" w:eastAsia="Times New Roman" w:hAnsi="Arial" w:cs="Arial"/>
          <w:sz w:val="20"/>
          <w:szCs w:val="20"/>
        </w:rPr>
        <w:br/>
      </w:r>
      <w:bookmarkStart w:id="0" w:name="_GoBack"/>
      <w:bookmarkEnd w:id="0"/>
    </w:p>
    <w:p w:rsidR="00EF4D03" w:rsidRPr="00EF4D03" w:rsidRDefault="00EF4D03" w:rsidP="00EF4D03">
      <w:pPr>
        <w:spacing w:after="0" w:line="240" w:lineRule="auto"/>
        <w:rPr>
          <w:rFonts w:ascii="Arial" w:eastAsia="Times New Roman" w:hAnsi="Arial" w:cs="Arial"/>
          <w:sz w:val="20"/>
          <w:szCs w:val="20"/>
        </w:rPr>
      </w:pPr>
      <w:r w:rsidRPr="00EF4D03">
        <w:rPr>
          <w:rFonts w:ascii="Arial" w:eastAsia="Times New Roman" w:hAnsi="Arial" w:cs="Arial"/>
          <w:sz w:val="20"/>
          <w:szCs w:val="20"/>
        </w:rPr>
        <w:t xml:space="preserve">Jessica Brown </w:t>
      </w:r>
    </w:p>
    <w:p w:rsidR="00EF4D03" w:rsidRPr="00EF4D03" w:rsidRDefault="00EF4D03" w:rsidP="00EF4D03">
      <w:pPr>
        <w:spacing w:after="0" w:line="240" w:lineRule="auto"/>
        <w:rPr>
          <w:rFonts w:ascii="Arial" w:eastAsia="Times New Roman" w:hAnsi="Arial" w:cs="Arial"/>
          <w:sz w:val="20"/>
          <w:szCs w:val="20"/>
        </w:rPr>
      </w:pPr>
      <w:proofErr w:type="spellStart"/>
      <w:r w:rsidRPr="00EF4D03">
        <w:rPr>
          <w:rFonts w:ascii="Arial" w:eastAsia="Times New Roman" w:hAnsi="Arial" w:cs="Arial"/>
          <w:sz w:val="20"/>
          <w:szCs w:val="20"/>
        </w:rPr>
        <w:t>Dicussion</w:t>
      </w:r>
      <w:proofErr w:type="spellEnd"/>
      <w:r w:rsidRPr="00EF4D03">
        <w:rPr>
          <w:rFonts w:ascii="Arial" w:eastAsia="Times New Roman" w:hAnsi="Arial" w:cs="Arial"/>
          <w:sz w:val="20"/>
          <w:szCs w:val="20"/>
        </w:rPr>
        <w:t xml:space="preserve"> Board 1 </w:t>
      </w:r>
    </w:p>
    <w:p w:rsidR="00EF4D03" w:rsidRPr="00EF4D03" w:rsidRDefault="00EF4D03" w:rsidP="00EF4D03">
      <w:pPr>
        <w:spacing w:after="0" w:line="240" w:lineRule="auto"/>
        <w:rPr>
          <w:rFonts w:ascii="Arial" w:eastAsia="Times New Roman" w:hAnsi="Arial" w:cs="Arial"/>
          <w:sz w:val="20"/>
          <w:szCs w:val="20"/>
        </w:rPr>
      </w:pPr>
      <w:hyperlink r:id="rId5" w:history="1">
        <w:r w:rsidRPr="00EF4D03">
          <w:rPr>
            <w:rFonts w:ascii="Arial" w:eastAsia="Times New Roman" w:hAnsi="Arial" w:cs="Arial"/>
            <w:color w:val="0000FF"/>
            <w:sz w:val="20"/>
            <w:szCs w:val="20"/>
            <w:u w:val="single"/>
          </w:rPr>
          <w:t>Collapse</w:t>
        </w:r>
      </w:hyperlink>
    </w:p>
    <w:p w:rsidR="00EF4D03" w:rsidRPr="00EF4D03" w:rsidRDefault="00EF4D03" w:rsidP="00EF4D03">
      <w:pPr>
        <w:pBdr>
          <w:bottom w:val="single" w:sz="6" w:space="1" w:color="auto"/>
        </w:pBdr>
        <w:spacing w:after="0" w:line="240" w:lineRule="auto"/>
        <w:jc w:val="center"/>
        <w:rPr>
          <w:rFonts w:ascii="Arial" w:eastAsia="Times New Roman" w:hAnsi="Arial" w:cs="Arial"/>
          <w:vanish/>
          <w:sz w:val="20"/>
          <w:szCs w:val="20"/>
        </w:rPr>
      </w:pPr>
      <w:r w:rsidRPr="00EF4D03">
        <w:rPr>
          <w:rFonts w:ascii="Arial" w:eastAsia="Times New Roman" w:hAnsi="Arial" w:cs="Arial"/>
          <w:vanish/>
          <w:sz w:val="20"/>
          <w:szCs w:val="20"/>
        </w:rPr>
        <w:lastRenderedPageBreak/>
        <w:t>Top of Form</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Jessica J. Brown</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Discussion Board 1</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BUSI 755</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Liberty University</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October 29, 2020</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240" w:lineRule="auto"/>
        <w:rPr>
          <w:rFonts w:ascii="Arial" w:eastAsia="Times New Roman" w:hAnsi="Arial" w:cs="Arial"/>
          <w:sz w:val="20"/>
          <w:szCs w:val="20"/>
        </w:rPr>
      </w:pPr>
      <w:r w:rsidRPr="00EF4D03">
        <w:rPr>
          <w:rFonts w:ascii="Arial" w:eastAsia="Times New Roman" w:hAnsi="Arial" w:cs="Arial"/>
          <w:i/>
          <w:iCs/>
          <w:sz w:val="20"/>
          <w:szCs w:val="20"/>
        </w:rPr>
        <w:br w:type="page"/>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lastRenderedPageBreak/>
        <w:t> </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Discussion Board 1</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In the past, coaching has been used to address toxic behaviors in leadership (</w:t>
      </w:r>
      <w:proofErr w:type="spellStart"/>
      <w:r w:rsidRPr="00EF4D03">
        <w:rPr>
          <w:rFonts w:ascii="Arial" w:eastAsia="Times New Roman" w:hAnsi="Arial" w:cs="Arial"/>
          <w:sz w:val="20"/>
          <w:szCs w:val="20"/>
        </w:rPr>
        <w:t>Athanasopoulou</w:t>
      </w:r>
      <w:proofErr w:type="spellEnd"/>
      <w:r w:rsidRPr="00EF4D03">
        <w:rPr>
          <w:rFonts w:ascii="Arial" w:eastAsia="Times New Roman" w:hAnsi="Arial" w:cs="Arial"/>
          <w:sz w:val="20"/>
          <w:szCs w:val="20"/>
        </w:rPr>
        <w:t xml:space="preserve"> &amp; Dopson, 2018).  Recently, executive coaching has realized massive growth and it is being utilized to develop high potential employees into corporate leaders (Underhill,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xml:space="preserve">, 2007).  Coaching involves conversations focused on discovery and actions to help a person, group or team grow and achieve goals for the organization (Bennett &amp; Bush, 2009).  Coaching usually involves 360-degree feedback that is gathered using assessments such as Meyers-Briggs, emotional intelligence and the Thomas Concept (Underhill,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2007). </w:t>
      </w:r>
    </w:p>
    <w:p w:rsidR="00EF4D03" w:rsidRPr="00EF4D03" w:rsidRDefault="00EF4D03" w:rsidP="00EF4D03">
      <w:pPr>
        <w:spacing w:before="100" w:beforeAutospacing="1" w:after="100" w:afterAutospacing="1" w:line="480" w:lineRule="auto"/>
        <w:ind w:firstLine="720"/>
        <w:rPr>
          <w:rFonts w:ascii="Arial" w:eastAsia="Times New Roman" w:hAnsi="Arial" w:cs="Arial"/>
          <w:sz w:val="20"/>
          <w:szCs w:val="20"/>
        </w:rPr>
      </w:pPr>
      <w:r w:rsidRPr="00EF4D03">
        <w:rPr>
          <w:rFonts w:ascii="Arial" w:eastAsia="Times New Roman" w:hAnsi="Arial" w:cs="Arial"/>
          <w:sz w:val="20"/>
          <w:szCs w:val="20"/>
        </w:rPr>
        <w:t xml:space="preserve">Coaching dialogue is the cornerstone of developmental coaching, in that it is used to promote employee growth in effectiveness on the job (Hunt &amp; Weintraub, 2017). Executive coaching is literally the one-to-one development of an organizational leader or group of leaders (Underhill, </w:t>
      </w:r>
      <w:proofErr w:type="spellStart"/>
      <w:r w:rsidRPr="00EF4D03">
        <w:rPr>
          <w:rFonts w:ascii="Arial" w:eastAsia="Times New Roman" w:hAnsi="Arial" w:cs="Arial"/>
          <w:sz w:val="20"/>
          <w:szCs w:val="20"/>
        </w:rPr>
        <w:t>McAnnally</w:t>
      </w:r>
      <w:proofErr w:type="spellEnd"/>
      <w:r w:rsidRPr="00EF4D03">
        <w:rPr>
          <w:rFonts w:ascii="Arial" w:eastAsia="Times New Roman" w:hAnsi="Arial" w:cs="Arial"/>
          <w:sz w:val="20"/>
          <w:szCs w:val="20"/>
        </w:rPr>
        <w:t xml:space="preserve"> &amp;</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2007).  Coaching is strongly influenced by organizational leaders and culture to the point that it may fail or succeed based on those two aspects (Hunt &amp; Weintraub, 2017).  The main types of corporate coaching types are leadership development, performance coaching, career coaching and executive coaching (Bennett &amp; Bush, 2009).</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b/>
          <w:bCs/>
          <w:sz w:val="20"/>
          <w:szCs w:val="20"/>
        </w:rPr>
        <w:t>Main Aspects or Concepts</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One of the main aspects of executive coaching is the relationship or partnership developed between the coach and the executive being coached (</w:t>
      </w:r>
      <w:proofErr w:type="spellStart"/>
      <w:r w:rsidRPr="00EF4D03">
        <w:rPr>
          <w:rFonts w:ascii="Arial" w:eastAsia="Times New Roman" w:hAnsi="Arial" w:cs="Arial"/>
          <w:sz w:val="20"/>
          <w:szCs w:val="20"/>
        </w:rPr>
        <w:t>Rekalde</w:t>
      </w:r>
      <w:proofErr w:type="spellEnd"/>
      <w:r w:rsidRPr="00EF4D03">
        <w:rPr>
          <w:rFonts w:ascii="Arial" w:eastAsia="Times New Roman" w:hAnsi="Arial" w:cs="Arial"/>
          <w:sz w:val="20"/>
          <w:szCs w:val="20"/>
        </w:rPr>
        <w:t xml:space="preserve">, </w:t>
      </w:r>
      <w:proofErr w:type="spellStart"/>
      <w:r w:rsidRPr="00EF4D03">
        <w:rPr>
          <w:rFonts w:ascii="Arial" w:eastAsia="Times New Roman" w:hAnsi="Arial" w:cs="Arial"/>
          <w:sz w:val="20"/>
          <w:szCs w:val="20"/>
        </w:rPr>
        <w:t>Landeta</w:t>
      </w:r>
      <w:proofErr w:type="spellEnd"/>
      <w:r w:rsidRPr="00EF4D03">
        <w:rPr>
          <w:rFonts w:ascii="Arial" w:eastAsia="Times New Roman" w:hAnsi="Arial" w:cs="Arial"/>
          <w:sz w:val="20"/>
          <w:szCs w:val="20"/>
        </w:rPr>
        <w:t xml:space="preserve">, </w:t>
      </w:r>
      <w:proofErr w:type="spellStart"/>
      <w:r w:rsidRPr="00EF4D03">
        <w:rPr>
          <w:rFonts w:ascii="Arial" w:eastAsia="Times New Roman" w:hAnsi="Arial" w:cs="Arial"/>
          <w:sz w:val="20"/>
          <w:szCs w:val="20"/>
        </w:rPr>
        <w:t>Albizu</w:t>
      </w:r>
      <w:proofErr w:type="spellEnd"/>
      <w:r w:rsidRPr="00EF4D03">
        <w:rPr>
          <w:rFonts w:ascii="Arial" w:eastAsia="Times New Roman" w:hAnsi="Arial" w:cs="Arial"/>
          <w:sz w:val="20"/>
          <w:szCs w:val="20"/>
        </w:rPr>
        <w:t xml:space="preserve"> &amp; Fernandez-</w:t>
      </w:r>
      <w:proofErr w:type="spellStart"/>
      <w:r w:rsidRPr="00EF4D03">
        <w:rPr>
          <w:rFonts w:ascii="Arial" w:eastAsia="Times New Roman" w:hAnsi="Arial" w:cs="Arial"/>
          <w:sz w:val="20"/>
          <w:szCs w:val="20"/>
        </w:rPr>
        <w:t>Ferrin</w:t>
      </w:r>
      <w:proofErr w:type="spellEnd"/>
      <w:r w:rsidRPr="00EF4D03">
        <w:rPr>
          <w:rFonts w:ascii="Arial" w:eastAsia="Times New Roman" w:hAnsi="Arial" w:cs="Arial"/>
          <w:sz w:val="20"/>
          <w:szCs w:val="20"/>
        </w:rPr>
        <w:t xml:space="preserve">, 2017).  The relationship is established to clarify the purpose and objectives so an action plan can be developed to satisfy them (Underhill,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2007).  The executive coach designs processes to modify work related behaviors through the course of multiple meetings (</w:t>
      </w:r>
      <w:proofErr w:type="spellStart"/>
      <w:r w:rsidRPr="00EF4D03">
        <w:rPr>
          <w:rFonts w:ascii="Arial" w:eastAsia="Times New Roman" w:hAnsi="Arial" w:cs="Arial"/>
          <w:sz w:val="20"/>
          <w:szCs w:val="20"/>
        </w:rPr>
        <w:t>Rekalde</w:t>
      </w:r>
      <w:proofErr w:type="spellEnd"/>
      <w:r w:rsidRPr="00EF4D03">
        <w:rPr>
          <w:rFonts w:ascii="Arial" w:eastAsia="Times New Roman" w:hAnsi="Arial" w:cs="Arial"/>
          <w:sz w:val="20"/>
          <w:szCs w:val="20"/>
        </w:rPr>
        <w:t xml:space="preserve"> et al, 2017).  Coaching is a personal commitment to individual development that an organization makes to aid in successful succession planning (Underhill,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2007).</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b/>
          <w:bCs/>
          <w:sz w:val="20"/>
          <w:szCs w:val="20"/>
        </w:rPr>
        <w:t>The Coaching Manager Model</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lastRenderedPageBreak/>
        <w:t xml:space="preserve">            Another aspect of executive coaching is the coaching manager model which explores the culture and mindset of and individual in an organizational setting prior to developing the coaching relationship (Hund &amp; Weintraub, 2017).  The central component of executive coaching is </w:t>
      </w:r>
      <w:proofErr w:type="spellStart"/>
      <w:r w:rsidRPr="00EF4D03">
        <w:rPr>
          <w:rFonts w:ascii="Arial" w:eastAsia="Times New Roman" w:hAnsi="Arial" w:cs="Arial"/>
          <w:sz w:val="20"/>
          <w:szCs w:val="20"/>
        </w:rPr>
        <w:t>behavioural</w:t>
      </w:r>
      <w:proofErr w:type="spellEnd"/>
      <w:r w:rsidRPr="00EF4D03">
        <w:rPr>
          <w:rFonts w:ascii="Arial" w:eastAsia="Times New Roman" w:hAnsi="Arial" w:cs="Arial"/>
          <w:sz w:val="20"/>
          <w:szCs w:val="20"/>
        </w:rPr>
        <w:t xml:space="preserve"> practice offered in a personalized intervention, where privacy and non-judgmental sessions help the </w:t>
      </w:r>
      <w:proofErr w:type="spellStart"/>
      <w:r w:rsidRPr="00EF4D03">
        <w:rPr>
          <w:rFonts w:ascii="Arial" w:eastAsia="Times New Roman" w:hAnsi="Arial" w:cs="Arial"/>
          <w:sz w:val="20"/>
          <w:szCs w:val="20"/>
        </w:rPr>
        <w:t>coachee</w:t>
      </w:r>
      <w:proofErr w:type="spellEnd"/>
      <w:r w:rsidRPr="00EF4D03">
        <w:rPr>
          <w:rFonts w:ascii="Arial" w:eastAsia="Times New Roman" w:hAnsi="Arial" w:cs="Arial"/>
          <w:sz w:val="20"/>
          <w:szCs w:val="20"/>
        </w:rPr>
        <w:t xml:space="preserve"> grow in a safe environment (</w:t>
      </w:r>
      <w:proofErr w:type="spellStart"/>
      <w:r w:rsidRPr="00EF4D03">
        <w:rPr>
          <w:rFonts w:ascii="Arial" w:eastAsia="Times New Roman" w:hAnsi="Arial" w:cs="Arial"/>
          <w:sz w:val="20"/>
          <w:szCs w:val="20"/>
        </w:rPr>
        <w:t>Renkalde</w:t>
      </w:r>
      <w:proofErr w:type="spellEnd"/>
      <w:r w:rsidRPr="00EF4D03">
        <w:rPr>
          <w:rFonts w:ascii="Arial" w:eastAsia="Times New Roman" w:hAnsi="Arial" w:cs="Arial"/>
          <w:sz w:val="20"/>
          <w:szCs w:val="20"/>
        </w:rPr>
        <w:t xml:space="preserve"> et al, 2017).  The four parts to the coaching manager model are opportunity, reflection, feedback and follow through/action planning (Hunt &amp; Weintraub, 2017).  The coaching culture and mindset are needed first to afford leaders the opportunity for coaching and its success (Hunt &amp; Weintraub, 2017).</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b/>
          <w:bCs/>
          <w:sz w:val="20"/>
          <w:szCs w:val="20"/>
        </w:rPr>
        <w:t>Reflection</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xml:space="preserve">            Once the culture has been established to give a leader the opportunity to engage in a coaching relationship and the relationship has been established, actions can be put into place to foster growth and reflection (Hunt &amp; Weintraub, 2017).  The actions that the </w:t>
      </w:r>
      <w:proofErr w:type="spellStart"/>
      <w:r w:rsidRPr="00EF4D03">
        <w:rPr>
          <w:rFonts w:ascii="Arial" w:eastAsia="Times New Roman" w:hAnsi="Arial" w:cs="Arial"/>
          <w:sz w:val="20"/>
          <w:szCs w:val="20"/>
        </w:rPr>
        <w:t>coachee</w:t>
      </w:r>
      <w:proofErr w:type="spellEnd"/>
      <w:r w:rsidRPr="00EF4D03">
        <w:rPr>
          <w:rFonts w:ascii="Arial" w:eastAsia="Times New Roman" w:hAnsi="Arial" w:cs="Arial"/>
          <w:sz w:val="20"/>
          <w:szCs w:val="20"/>
        </w:rPr>
        <w:t xml:space="preserve"> takes must link to strategic organizational objectives which can then be utilized to initiate reflection in the </w:t>
      </w:r>
      <w:proofErr w:type="spellStart"/>
      <w:r w:rsidRPr="00EF4D03">
        <w:rPr>
          <w:rFonts w:ascii="Arial" w:eastAsia="Times New Roman" w:hAnsi="Arial" w:cs="Arial"/>
          <w:sz w:val="20"/>
          <w:szCs w:val="20"/>
        </w:rPr>
        <w:t>coachee</w:t>
      </w:r>
      <w:proofErr w:type="spellEnd"/>
      <w:r w:rsidRPr="00EF4D03">
        <w:rPr>
          <w:rFonts w:ascii="Arial" w:eastAsia="Times New Roman" w:hAnsi="Arial" w:cs="Arial"/>
          <w:sz w:val="20"/>
          <w:szCs w:val="20"/>
        </w:rPr>
        <w:t xml:space="preserve"> (</w:t>
      </w:r>
      <w:proofErr w:type="spellStart"/>
      <w:r w:rsidRPr="00EF4D03">
        <w:rPr>
          <w:rFonts w:ascii="Arial" w:eastAsia="Times New Roman" w:hAnsi="Arial" w:cs="Arial"/>
          <w:sz w:val="20"/>
          <w:szCs w:val="20"/>
        </w:rPr>
        <w:t>Athanasopoulou</w:t>
      </w:r>
      <w:proofErr w:type="spellEnd"/>
      <w:r w:rsidRPr="00EF4D03">
        <w:rPr>
          <w:rFonts w:ascii="Arial" w:eastAsia="Times New Roman" w:hAnsi="Arial" w:cs="Arial"/>
          <w:sz w:val="20"/>
          <w:szCs w:val="20"/>
        </w:rPr>
        <w:t xml:space="preserve"> &amp; Dopson, 2017).  Once actions are taken, reflection occurs as a result of the outcome of the action (Hunt &amp; Weintraub, 2017).  This reflection when used in conjunction with coaching can lead to better future outcomes that result in higher degrees of success.</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b/>
          <w:bCs/>
          <w:sz w:val="20"/>
          <w:szCs w:val="20"/>
        </w:rPr>
        <w:t> </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b/>
          <w:bCs/>
          <w:sz w:val="20"/>
          <w:szCs w:val="20"/>
        </w:rPr>
        <w:t> </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b/>
          <w:bCs/>
          <w:sz w:val="20"/>
          <w:szCs w:val="20"/>
        </w:rPr>
        <w:t>Feedback</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xml:space="preserve">            Feedback occurs between the coach and the </w:t>
      </w:r>
      <w:proofErr w:type="spellStart"/>
      <w:r w:rsidRPr="00EF4D03">
        <w:rPr>
          <w:rFonts w:ascii="Arial" w:eastAsia="Times New Roman" w:hAnsi="Arial" w:cs="Arial"/>
          <w:sz w:val="20"/>
          <w:szCs w:val="20"/>
        </w:rPr>
        <w:t>coachee</w:t>
      </w:r>
      <w:proofErr w:type="spellEnd"/>
      <w:r w:rsidRPr="00EF4D03">
        <w:rPr>
          <w:rFonts w:ascii="Arial" w:eastAsia="Times New Roman" w:hAnsi="Arial" w:cs="Arial"/>
          <w:sz w:val="20"/>
          <w:szCs w:val="20"/>
        </w:rPr>
        <w:t xml:space="preserve"> to convey performance information and to offer suggestions for improvement in future actions (</w:t>
      </w:r>
      <w:proofErr w:type="spellStart"/>
      <w:r w:rsidRPr="00EF4D03">
        <w:rPr>
          <w:rFonts w:ascii="Arial" w:eastAsia="Times New Roman" w:hAnsi="Arial" w:cs="Arial"/>
          <w:sz w:val="20"/>
          <w:szCs w:val="20"/>
        </w:rPr>
        <w:t>Gladis</w:t>
      </w:r>
      <w:proofErr w:type="spellEnd"/>
      <w:r w:rsidRPr="00EF4D03">
        <w:rPr>
          <w:rFonts w:ascii="Arial" w:eastAsia="Times New Roman" w:hAnsi="Arial" w:cs="Arial"/>
          <w:sz w:val="20"/>
          <w:szCs w:val="20"/>
        </w:rPr>
        <w:t xml:space="preserve">, 2007).  Often times, reflection is enough for a </w:t>
      </w:r>
      <w:proofErr w:type="spellStart"/>
      <w:r w:rsidRPr="00EF4D03">
        <w:rPr>
          <w:rFonts w:ascii="Arial" w:eastAsia="Times New Roman" w:hAnsi="Arial" w:cs="Arial"/>
          <w:sz w:val="20"/>
          <w:szCs w:val="20"/>
        </w:rPr>
        <w:t>coachee</w:t>
      </w:r>
      <w:proofErr w:type="spellEnd"/>
      <w:r w:rsidRPr="00EF4D03">
        <w:rPr>
          <w:rFonts w:ascii="Arial" w:eastAsia="Times New Roman" w:hAnsi="Arial" w:cs="Arial"/>
          <w:sz w:val="20"/>
          <w:szCs w:val="20"/>
        </w:rPr>
        <w:t xml:space="preserve"> to alter their course in the future without the need of feedback however, to fill in the gaps left by personal reflection, feedback will bring better understanding to the impact of behavior (Hunt &amp; Weintraub, 2017).  “The ear that listens to life-giving reproof will dwell among the wise. Whoever ignores instruction </w:t>
      </w:r>
      <w:r w:rsidRPr="00EF4D03">
        <w:rPr>
          <w:rFonts w:ascii="Arial" w:eastAsia="Times New Roman" w:hAnsi="Arial" w:cs="Arial"/>
          <w:sz w:val="20"/>
          <w:szCs w:val="20"/>
        </w:rPr>
        <w:lastRenderedPageBreak/>
        <w:t>despises himself, but he who listens to reproof gains intelligence. The fear of the LORD is instruction in wisdom, and humility comes before honor (Proverbs 15:31-33, ESV).</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b/>
          <w:bCs/>
          <w:sz w:val="20"/>
          <w:szCs w:val="20"/>
        </w:rPr>
        <w:t>Follow through and Action Planning</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xml:space="preserve">            Adult leaders learn through taking actions in relation to a goal or goals, reflecting on that action, receiving feedback and revising their plans or behavior to achieve the goal or goals (Hunt &amp; Weintraub, 2017).  Action plan generation involves defining development objectives, specifying specific steps toward goal achievement, creating timelines, assessing the resources required to accomplish objectives, analyzing the barriers that my impede progress, finding ways to overcome the barriers, and developing metrics to measure improvement (Underhill,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xml:space="preserve">, 2007).  The plan developed should be reviewed with HR, the manager and all leadership involved in development so action steps can be implemented to improve behavior and bottom line (Underhill,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2007).  “All scripture is breathed out by God and profitable for teaching, for reproof, for correction, and for training in righteousness (2 Timothy 3:16, ESV). Using the bible for feedback and action planning is always a great executive coaching method.</w:t>
      </w:r>
    </w:p>
    <w:p w:rsidR="00EF4D03" w:rsidRPr="00EF4D03" w:rsidRDefault="00EF4D03" w:rsidP="00EF4D03">
      <w:pPr>
        <w:spacing w:before="100" w:beforeAutospacing="1" w:after="100" w:afterAutospacing="1" w:line="480" w:lineRule="auto"/>
        <w:rPr>
          <w:rFonts w:ascii="Arial" w:eastAsia="Times New Roman" w:hAnsi="Arial" w:cs="Arial"/>
          <w:sz w:val="20"/>
          <w:szCs w:val="20"/>
        </w:rPr>
      </w:pPr>
      <w:r w:rsidRPr="00EF4D03">
        <w:rPr>
          <w:rFonts w:ascii="Arial" w:eastAsia="Times New Roman" w:hAnsi="Arial" w:cs="Arial"/>
          <w:sz w:val="20"/>
          <w:szCs w:val="20"/>
        </w:rPr>
        <w:t> </w:t>
      </w:r>
    </w:p>
    <w:p w:rsidR="00EF4D03" w:rsidRPr="00EF4D03" w:rsidRDefault="00EF4D03" w:rsidP="00EF4D03">
      <w:pPr>
        <w:spacing w:before="100" w:beforeAutospacing="1" w:after="100" w:afterAutospacing="1" w:line="480" w:lineRule="auto"/>
        <w:jc w:val="center"/>
        <w:rPr>
          <w:rFonts w:ascii="Arial" w:eastAsia="Times New Roman" w:hAnsi="Arial" w:cs="Arial"/>
          <w:sz w:val="20"/>
          <w:szCs w:val="20"/>
        </w:rPr>
      </w:pPr>
      <w:r w:rsidRPr="00EF4D03">
        <w:rPr>
          <w:rFonts w:ascii="Arial" w:eastAsia="Times New Roman" w:hAnsi="Arial" w:cs="Arial"/>
          <w:sz w:val="20"/>
          <w:szCs w:val="20"/>
        </w:rPr>
        <w:t>References</w:t>
      </w:r>
    </w:p>
    <w:p w:rsidR="00EF4D03" w:rsidRPr="00EF4D03" w:rsidRDefault="00EF4D03" w:rsidP="00EF4D03">
      <w:pPr>
        <w:spacing w:before="100" w:beforeAutospacing="1" w:after="100" w:afterAutospacing="1" w:line="480" w:lineRule="auto"/>
        <w:ind w:left="720" w:hanging="720"/>
        <w:rPr>
          <w:rFonts w:ascii="Arial" w:eastAsia="Times New Roman" w:hAnsi="Arial" w:cs="Arial"/>
          <w:sz w:val="20"/>
          <w:szCs w:val="20"/>
        </w:rPr>
      </w:pPr>
      <w:proofErr w:type="spellStart"/>
      <w:r w:rsidRPr="00EF4D03">
        <w:rPr>
          <w:rFonts w:ascii="Arial" w:eastAsia="Times New Roman" w:hAnsi="Arial" w:cs="Arial"/>
          <w:sz w:val="20"/>
          <w:szCs w:val="20"/>
        </w:rPr>
        <w:t>Athanasopoulou</w:t>
      </w:r>
      <w:proofErr w:type="spellEnd"/>
      <w:r w:rsidRPr="00EF4D03">
        <w:rPr>
          <w:rFonts w:ascii="Arial" w:eastAsia="Times New Roman" w:hAnsi="Arial" w:cs="Arial"/>
          <w:sz w:val="20"/>
          <w:szCs w:val="20"/>
        </w:rPr>
        <w:t xml:space="preserve">, A. &amp; Dopson, S. (2017). A systematic review of executive coaching outcomes: Is it the journey or the destination that matters the most? </w:t>
      </w:r>
      <w:r w:rsidRPr="00EF4D03">
        <w:rPr>
          <w:rFonts w:ascii="Arial" w:eastAsia="Times New Roman" w:hAnsi="Arial" w:cs="Arial"/>
          <w:i/>
          <w:iCs/>
          <w:sz w:val="20"/>
          <w:szCs w:val="20"/>
        </w:rPr>
        <w:t>The Leadership Quarterly, Vol. 29</w:t>
      </w:r>
      <w:r w:rsidRPr="00EF4D03">
        <w:rPr>
          <w:rFonts w:ascii="Arial" w:eastAsia="Times New Roman" w:hAnsi="Arial" w:cs="Arial"/>
          <w:sz w:val="20"/>
          <w:szCs w:val="20"/>
        </w:rPr>
        <w:t>(1), 70-88. https://doi.org/10.1016/j.leaqua.2017.11.004.</w:t>
      </w:r>
    </w:p>
    <w:p w:rsidR="00EF4D03" w:rsidRPr="00EF4D03" w:rsidRDefault="00EF4D03" w:rsidP="00EF4D03">
      <w:pPr>
        <w:spacing w:before="100" w:beforeAutospacing="1" w:after="100" w:afterAutospacing="1" w:line="480" w:lineRule="auto"/>
        <w:ind w:left="720" w:hanging="720"/>
        <w:rPr>
          <w:rFonts w:ascii="Arial" w:eastAsia="Times New Roman" w:hAnsi="Arial" w:cs="Arial"/>
          <w:sz w:val="20"/>
          <w:szCs w:val="20"/>
        </w:rPr>
      </w:pPr>
      <w:r w:rsidRPr="00EF4D03">
        <w:rPr>
          <w:rFonts w:ascii="Arial" w:eastAsia="Times New Roman" w:hAnsi="Arial" w:cs="Arial"/>
          <w:sz w:val="20"/>
          <w:szCs w:val="20"/>
        </w:rPr>
        <w:t xml:space="preserve">Bennett, J. &amp; Bush, M. W. (2009). Coaching in organizations. </w:t>
      </w:r>
      <w:r w:rsidRPr="00EF4D03">
        <w:rPr>
          <w:rFonts w:ascii="Arial" w:eastAsia="Times New Roman" w:hAnsi="Arial" w:cs="Arial"/>
          <w:i/>
          <w:iCs/>
          <w:sz w:val="20"/>
          <w:szCs w:val="20"/>
        </w:rPr>
        <w:t>OD Practitioner, Vol. 41</w:t>
      </w:r>
      <w:r w:rsidRPr="00EF4D03">
        <w:rPr>
          <w:rFonts w:ascii="Arial" w:eastAsia="Times New Roman" w:hAnsi="Arial" w:cs="Arial"/>
          <w:sz w:val="20"/>
          <w:szCs w:val="20"/>
        </w:rPr>
        <w:t>(1), 2-7. Retrieved from http://search.ebscohost.com.ezproxy.liberty.edu/login.aspx?direct=true&amp;db=a9h&amp;AN=36124776&amp;site=ehost-live&amp;scope=site</w:t>
      </w:r>
    </w:p>
    <w:p w:rsidR="00EF4D03" w:rsidRPr="00EF4D03" w:rsidRDefault="00EF4D03" w:rsidP="00EF4D03">
      <w:pPr>
        <w:spacing w:before="100" w:beforeAutospacing="1" w:after="100" w:afterAutospacing="1" w:line="480" w:lineRule="auto"/>
        <w:ind w:left="720" w:hanging="720"/>
        <w:rPr>
          <w:rFonts w:ascii="Arial" w:eastAsia="Times New Roman" w:hAnsi="Arial" w:cs="Arial"/>
          <w:sz w:val="20"/>
          <w:szCs w:val="20"/>
        </w:rPr>
      </w:pPr>
      <w:proofErr w:type="spellStart"/>
      <w:r w:rsidRPr="00EF4D03">
        <w:rPr>
          <w:rFonts w:ascii="Arial" w:eastAsia="Times New Roman" w:hAnsi="Arial" w:cs="Arial"/>
          <w:sz w:val="20"/>
          <w:szCs w:val="20"/>
        </w:rPr>
        <w:lastRenderedPageBreak/>
        <w:t>Gladis</w:t>
      </w:r>
      <w:proofErr w:type="spellEnd"/>
      <w:r w:rsidRPr="00EF4D03">
        <w:rPr>
          <w:rFonts w:ascii="Arial" w:eastAsia="Times New Roman" w:hAnsi="Arial" w:cs="Arial"/>
          <w:sz w:val="20"/>
          <w:szCs w:val="20"/>
        </w:rPr>
        <w:t>, S. T. (2007). Executive coaching builds steam in organizations</w:t>
      </w:r>
      <w:r w:rsidRPr="00EF4D03">
        <w:rPr>
          <w:rFonts w:ascii="Arial" w:eastAsia="Times New Roman" w:hAnsi="Arial" w:cs="Arial"/>
          <w:i/>
          <w:iCs/>
          <w:sz w:val="20"/>
          <w:szCs w:val="20"/>
        </w:rPr>
        <w:t>. T + D, Vol. 61</w:t>
      </w:r>
      <w:r w:rsidRPr="00EF4D03">
        <w:rPr>
          <w:rFonts w:ascii="Arial" w:eastAsia="Times New Roman" w:hAnsi="Arial" w:cs="Arial"/>
          <w:sz w:val="20"/>
          <w:szCs w:val="20"/>
        </w:rPr>
        <w:t>(12), 59-61</w:t>
      </w:r>
      <w:proofErr w:type="gramStart"/>
      <w:r w:rsidRPr="00EF4D03">
        <w:rPr>
          <w:rFonts w:ascii="Arial" w:eastAsia="Times New Roman" w:hAnsi="Arial" w:cs="Arial"/>
          <w:sz w:val="20"/>
          <w:szCs w:val="20"/>
        </w:rPr>
        <w:t>,6</w:t>
      </w:r>
      <w:proofErr w:type="gramEnd"/>
      <w:r w:rsidRPr="00EF4D03">
        <w:rPr>
          <w:rFonts w:ascii="Arial" w:eastAsia="Times New Roman" w:hAnsi="Arial" w:cs="Arial"/>
          <w:sz w:val="20"/>
          <w:szCs w:val="20"/>
        </w:rPr>
        <w:t>. Retrieved from http://ezproxy.liberty.edu/login?url=https://search-proquest-com.ezproxy.liberty.edu/docview/227027301?accountid=12085.</w:t>
      </w:r>
    </w:p>
    <w:p w:rsidR="00EF4D03" w:rsidRPr="00EF4D03" w:rsidRDefault="00EF4D03" w:rsidP="00EF4D03">
      <w:pPr>
        <w:spacing w:before="100" w:beforeAutospacing="1" w:after="100" w:afterAutospacing="1" w:line="480" w:lineRule="auto"/>
        <w:ind w:left="720" w:hanging="720"/>
        <w:rPr>
          <w:rFonts w:ascii="Arial" w:eastAsia="Times New Roman" w:hAnsi="Arial" w:cs="Arial"/>
          <w:sz w:val="20"/>
          <w:szCs w:val="20"/>
        </w:rPr>
      </w:pPr>
      <w:r w:rsidRPr="00EF4D03">
        <w:rPr>
          <w:rFonts w:ascii="Arial" w:eastAsia="Times New Roman" w:hAnsi="Arial" w:cs="Arial"/>
          <w:sz w:val="20"/>
          <w:szCs w:val="20"/>
        </w:rPr>
        <w:t>Hunt. J. M. &amp;</w:t>
      </w:r>
      <w:r w:rsidRPr="00EF4D03">
        <w:rPr>
          <w:rFonts w:ascii="Arial" w:eastAsia="Times New Roman" w:hAnsi="Arial" w:cs="Arial"/>
          <w:i/>
          <w:iCs/>
          <w:sz w:val="20"/>
          <w:szCs w:val="20"/>
        </w:rPr>
        <w:t xml:space="preserve"> </w:t>
      </w:r>
      <w:r w:rsidRPr="00EF4D03">
        <w:rPr>
          <w:rFonts w:ascii="Arial" w:eastAsia="Times New Roman" w:hAnsi="Arial" w:cs="Arial"/>
          <w:sz w:val="20"/>
          <w:szCs w:val="20"/>
        </w:rPr>
        <w:t xml:space="preserve">Weintraub, J. R. (2017). </w:t>
      </w:r>
      <w:r w:rsidRPr="00EF4D03">
        <w:rPr>
          <w:rFonts w:ascii="Arial" w:eastAsia="Times New Roman" w:hAnsi="Arial" w:cs="Arial"/>
          <w:i/>
          <w:iCs/>
          <w:sz w:val="20"/>
          <w:szCs w:val="20"/>
        </w:rPr>
        <w:t>The coaching manager: Developing top talent in business</w:t>
      </w:r>
      <w:r w:rsidRPr="00EF4D03">
        <w:rPr>
          <w:rFonts w:ascii="Arial" w:eastAsia="Times New Roman" w:hAnsi="Arial" w:cs="Arial"/>
          <w:sz w:val="20"/>
          <w:szCs w:val="20"/>
        </w:rPr>
        <w:t>. Los Angeles, CA: Sage</w:t>
      </w:r>
    </w:p>
    <w:p w:rsidR="00EF4D03" w:rsidRPr="00EF4D03" w:rsidRDefault="00EF4D03" w:rsidP="00EF4D03">
      <w:pPr>
        <w:spacing w:before="100" w:beforeAutospacing="1" w:after="100" w:afterAutospacing="1" w:line="480" w:lineRule="auto"/>
        <w:ind w:left="720" w:hanging="720"/>
        <w:rPr>
          <w:rFonts w:ascii="Arial" w:eastAsia="Times New Roman" w:hAnsi="Arial" w:cs="Arial"/>
          <w:sz w:val="20"/>
          <w:szCs w:val="20"/>
        </w:rPr>
      </w:pPr>
      <w:proofErr w:type="spellStart"/>
      <w:r w:rsidRPr="00EF4D03">
        <w:rPr>
          <w:rFonts w:ascii="Arial" w:eastAsia="Times New Roman" w:hAnsi="Arial" w:cs="Arial"/>
          <w:sz w:val="20"/>
          <w:szCs w:val="20"/>
        </w:rPr>
        <w:t>Rekalde</w:t>
      </w:r>
      <w:proofErr w:type="spellEnd"/>
      <w:r w:rsidRPr="00EF4D03">
        <w:rPr>
          <w:rFonts w:ascii="Arial" w:eastAsia="Times New Roman" w:hAnsi="Arial" w:cs="Arial"/>
          <w:sz w:val="20"/>
          <w:szCs w:val="20"/>
        </w:rPr>
        <w:t xml:space="preserve">, I., </w:t>
      </w:r>
      <w:proofErr w:type="spellStart"/>
      <w:r w:rsidRPr="00EF4D03">
        <w:rPr>
          <w:rFonts w:ascii="Arial" w:eastAsia="Times New Roman" w:hAnsi="Arial" w:cs="Arial"/>
          <w:sz w:val="20"/>
          <w:szCs w:val="20"/>
        </w:rPr>
        <w:t>Landeta</w:t>
      </w:r>
      <w:proofErr w:type="spellEnd"/>
      <w:r w:rsidRPr="00EF4D03">
        <w:rPr>
          <w:rFonts w:ascii="Arial" w:eastAsia="Times New Roman" w:hAnsi="Arial" w:cs="Arial"/>
          <w:sz w:val="20"/>
          <w:szCs w:val="20"/>
        </w:rPr>
        <w:t xml:space="preserve">, J., </w:t>
      </w:r>
      <w:proofErr w:type="spellStart"/>
      <w:r w:rsidRPr="00EF4D03">
        <w:rPr>
          <w:rFonts w:ascii="Arial" w:eastAsia="Times New Roman" w:hAnsi="Arial" w:cs="Arial"/>
          <w:sz w:val="20"/>
          <w:szCs w:val="20"/>
        </w:rPr>
        <w:t>Albizu</w:t>
      </w:r>
      <w:proofErr w:type="spellEnd"/>
      <w:r w:rsidRPr="00EF4D03">
        <w:rPr>
          <w:rFonts w:ascii="Arial" w:eastAsia="Times New Roman" w:hAnsi="Arial" w:cs="Arial"/>
          <w:sz w:val="20"/>
          <w:szCs w:val="20"/>
        </w:rPr>
        <w:t>, E. &amp; Fernandez-</w:t>
      </w:r>
      <w:proofErr w:type="spellStart"/>
      <w:r w:rsidRPr="00EF4D03">
        <w:rPr>
          <w:rFonts w:ascii="Arial" w:eastAsia="Times New Roman" w:hAnsi="Arial" w:cs="Arial"/>
          <w:sz w:val="20"/>
          <w:szCs w:val="20"/>
        </w:rPr>
        <w:t>Ferrin</w:t>
      </w:r>
      <w:proofErr w:type="spellEnd"/>
      <w:r w:rsidRPr="00EF4D03">
        <w:rPr>
          <w:rFonts w:ascii="Arial" w:eastAsia="Times New Roman" w:hAnsi="Arial" w:cs="Arial"/>
          <w:sz w:val="20"/>
          <w:szCs w:val="20"/>
        </w:rPr>
        <w:t xml:space="preserve">, P. (2017). Is executive coaching more effective than other management training and development methods? </w:t>
      </w:r>
      <w:r w:rsidRPr="00EF4D03">
        <w:rPr>
          <w:rFonts w:ascii="Arial" w:eastAsia="Times New Roman" w:hAnsi="Arial" w:cs="Arial"/>
          <w:i/>
          <w:iCs/>
          <w:sz w:val="20"/>
          <w:szCs w:val="20"/>
        </w:rPr>
        <w:t>Management Decision, Vol. 55</w:t>
      </w:r>
      <w:r w:rsidRPr="00EF4D03">
        <w:rPr>
          <w:rFonts w:ascii="Arial" w:eastAsia="Times New Roman" w:hAnsi="Arial" w:cs="Arial"/>
          <w:sz w:val="20"/>
          <w:szCs w:val="20"/>
        </w:rPr>
        <w:t>(10), 2149-2162. Retrieved from http://ezproxy.liberty.edu/login?url=https://search-proquest-com.ezproxy.liberty.edu/docview/1963352368?accountid=12085.</w:t>
      </w:r>
    </w:p>
    <w:p w:rsidR="00EF4D03" w:rsidRPr="00EF4D03" w:rsidRDefault="00EF4D03" w:rsidP="00EF4D03">
      <w:pPr>
        <w:spacing w:before="100" w:beforeAutospacing="1" w:after="100" w:afterAutospacing="1" w:line="480" w:lineRule="auto"/>
        <w:ind w:left="720" w:hanging="720"/>
        <w:rPr>
          <w:rFonts w:ascii="Arial" w:eastAsia="Times New Roman" w:hAnsi="Arial" w:cs="Arial"/>
          <w:sz w:val="20"/>
          <w:szCs w:val="20"/>
        </w:rPr>
      </w:pPr>
      <w:r w:rsidRPr="00EF4D03">
        <w:rPr>
          <w:rFonts w:ascii="Arial" w:eastAsia="Times New Roman" w:hAnsi="Arial" w:cs="Arial"/>
          <w:sz w:val="20"/>
          <w:szCs w:val="20"/>
        </w:rPr>
        <w:t xml:space="preserve">Underhill, B. O., </w:t>
      </w:r>
      <w:proofErr w:type="spellStart"/>
      <w:r w:rsidRPr="00EF4D03">
        <w:rPr>
          <w:rFonts w:ascii="Arial" w:eastAsia="Times New Roman" w:hAnsi="Arial" w:cs="Arial"/>
          <w:sz w:val="20"/>
          <w:szCs w:val="20"/>
        </w:rPr>
        <w:t>McAnally</w:t>
      </w:r>
      <w:proofErr w:type="spellEnd"/>
      <w:r w:rsidRPr="00EF4D03">
        <w:rPr>
          <w:rFonts w:ascii="Arial" w:eastAsia="Times New Roman" w:hAnsi="Arial" w:cs="Arial"/>
          <w:sz w:val="20"/>
          <w:szCs w:val="20"/>
        </w:rPr>
        <w:t xml:space="preserve">, K. &amp; </w:t>
      </w:r>
      <w:proofErr w:type="spellStart"/>
      <w:r w:rsidRPr="00EF4D03">
        <w:rPr>
          <w:rFonts w:ascii="Arial" w:eastAsia="Times New Roman" w:hAnsi="Arial" w:cs="Arial"/>
          <w:sz w:val="20"/>
          <w:szCs w:val="20"/>
        </w:rPr>
        <w:t>Koriath</w:t>
      </w:r>
      <w:proofErr w:type="spellEnd"/>
      <w:r w:rsidRPr="00EF4D03">
        <w:rPr>
          <w:rFonts w:ascii="Arial" w:eastAsia="Times New Roman" w:hAnsi="Arial" w:cs="Arial"/>
          <w:sz w:val="20"/>
          <w:szCs w:val="20"/>
        </w:rPr>
        <w:t xml:space="preserve">, J. J. (2007). </w:t>
      </w:r>
      <w:r w:rsidRPr="00EF4D03">
        <w:rPr>
          <w:rFonts w:ascii="Arial" w:eastAsia="Times New Roman" w:hAnsi="Arial" w:cs="Arial"/>
          <w:i/>
          <w:iCs/>
          <w:sz w:val="20"/>
          <w:szCs w:val="20"/>
        </w:rPr>
        <w:t>Executive coaching for results: The definitive guide to developing organizational leaders.</w:t>
      </w:r>
      <w:r w:rsidRPr="00EF4D03">
        <w:rPr>
          <w:rFonts w:ascii="Arial" w:eastAsia="Times New Roman" w:hAnsi="Arial" w:cs="Arial"/>
          <w:sz w:val="20"/>
          <w:szCs w:val="20"/>
        </w:rPr>
        <w:t xml:space="preserve"> Oakland, CA: Barrett-Koehler Publishers.</w:t>
      </w:r>
    </w:p>
    <w:p w:rsidR="00EF4D03" w:rsidRPr="00EF4D03" w:rsidRDefault="00EF4D03" w:rsidP="00EF4D03">
      <w:pPr>
        <w:pBdr>
          <w:top w:val="single" w:sz="6" w:space="1" w:color="auto"/>
        </w:pBdr>
        <w:spacing w:after="0" w:line="240" w:lineRule="auto"/>
        <w:jc w:val="center"/>
        <w:rPr>
          <w:rFonts w:ascii="Arial" w:eastAsia="Times New Roman" w:hAnsi="Arial" w:cs="Arial"/>
          <w:vanish/>
          <w:sz w:val="20"/>
          <w:szCs w:val="20"/>
        </w:rPr>
      </w:pPr>
      <w:r w:rsidRPr="00EF4D03">
        <w:rPr>
          <w:rFonts w:ascii="Arial" w:eastAsia="Times New Roman" w:hAnsi="Arial" w:cs="Arial"/>
          <w:vanish/>
          <w:sz w:val="20"/>
          <w:szCs w:val="20"/>
        </w:rPr>
        <w:t>Bottom of Form</w:t>
      </w:r>
    </w:p>
    <w:p w:rsidR="00EF4D03" w:rsidRPr="00EF4D03" w:rsidRDefault="00EF4D03" w:rsidP="00EF4D03">
      <w:pPr>
        <w:pBdr>
          <w:top w:val="single" w:sz="6" w:space="1" w:color="auto"/>
        </w:pBdr>
        <w:spacing w:after="0" w:line="240" w:lineRule="auto"/>
        <w:rPr>
          <w:rFonts w:ascii="Arial" w:eastAsia="Times New Roman" w:hAnsi="Arial" w:cs="Arial"/>
          <w:vanish/>
          <w:sz w:val="20"/>
          <w:szCs w:val="20"/>
        </w:rPr>
      </w:pPr>
    </w:p>
    <w:p w:rsidR="00BB3529" w:rsidRPr="00EF4D03" w:rsidRDefault="00BB3529">
      <w:pPr>
        <w:rPr>
          <w:rFonts w:ascii="Arial" w:hAnsi="Arial" w:cs="Arial"/>
          <w:sz w:val="20"/>
          <w:szCs w:val="20"/>
        </w:rPr>
      </w:pPr>
    </w:p>
    <w:sectPr w:rsidR="00BB3529" w:rsidRPr="00EF4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D03"/>
    <w:rsid w:val="00050EF7"/>
    <w:rsid w:val="00181D97"/>
    <w:rsid w:val="00196AEB"/>
    <w:rsid w:val="001E4A79"/>
    <w:rsid w:val="001E5584"/>
    <w:rsid w:val="00281780"/>
    <w:rsid w:val="00384F11"/>
    <w:rsid w:val="003F0B71"/>
    <w:rsid w:val="005E6FEB"/>
    <w:rsid w:val="00602B7E"/>
    <w:rsid w:val="0062186D"/>
    <w:rsid w:val="00787283"/>
    <w:rsid w:val="0080799D"/>
    <w:rsid w:val="00831BBD"/>
    <w:rsid w:val="00904F65"/>
    <w:rsid w:val="00915C8B"/>
    <w:rsid w:val="00946FD8"/>
    <w:rsid w:val="00962925"/>
    <w:rsid w:val="009C4849"/>
    <w:rsid w:val="009C6DAF"/>
    <w:rsid w:val="009E32E6"/>
    <w:rsid w:val="00A447CA"/>
    <w:rsid w:val="00A71242"/>
    <w:rsid w:val="00AB7DA9"/>
    <w:rsid w:val="00B6017C"/>
    <w:rsid w:val="00B80120"/>
    <w:rsid w:val="00BB3529"/>
    <w:rsid w:val="00CA6C29"/>
    <w:rsid w:val="00D84F7A"/>
    <w:rsid w:val="00DC186F"/>
    <w:rsid w:val="00DC70BB"/>
    <w:rsid w:val="00E121F3"/>
    <w:rsid w:val="00E35225"/>
    <w:rsid w:val="00EB68EC"/>
    <w:rsid w:val="00EF4D03"/>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EA498-D496-442C-A150-B86EEA9DA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EF4D03"/>
  </w:style>
  <w:style w:type="character" w:customStyle="1" w:styleId="profilecardavatarthumb">
    <w:name w:val="profilecardavatarthumb"/>
    <w:basedOn w:val="DefaultParagraphFont"/>
    <w:rsid w:val="00EF4D03"/>
  </w:style>
  <w:style w:type="character" w:styleId="Hyperlink">
    <w:name w:val="Hyperlink"/>
    <w:basedOn w:val="DefaultParagraphFont"/>
    <w:uiPriority w:val="99"/>
    <w:semiHidden/>
    <w:unhideWhenUsed/>
    <w:rsid w:val="00EF4D03"/>
    <w:rPr>
      <w:color w:val="0000FF"/>
      <w:u w:val="single"/>
    </w:rPr>
  </w:style>
  <w:style w:type="paragraph" w:styleId="z-TopofForm">
    <w:name w:val="HTML Top of Form"/>
    <w:basedOn w:val="Normal"/>
    <w:next w:val="Normal"/>
    <w:link w:val="z-TopofFormChar"/>
    <w:hidden/>
    <w:uiPriority w:val="99"/>
    <w:semiHidden/>
    <w:unhideWhenUsed/>
    <w:rsid w:val="00EF4D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F4D03"/>
    <w:rPr>
      <w:rFonts w:ascii="Arial" w:eastAsia="Times New Roman" w:hAnsi="Arial" w:cs="Arial"/>
      <w:vanish/>
      <w:sz w:val="16"/>
      <w:szCs w:val="16"/>
    </w:rPr>
  </w:style>
  <w:style w:type="paragraph" w:styleId="NormalWeb">
    <w:name w:val="Normal (Web)"/>
    <w:basedOn w:val="Normal"/>
    <w:uiPriority w:val="99"/>
    <w:semiHidden/>
    <w:unhideWhenUsed/>
    <w:rsid w:val="00EF4D03"/>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EF4D0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F4D0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926985">
      <w:bodyDiv w:val="1"/>
      <w:marLeft w:val="0"/>
      <w:marRight w:val="0"/>
      <w:marTop w:val="0"/>
      <w:marBottom w:val="0"/>
      <w:divBdr>
        <w:top w:val="none" w:sz="0" w:space="0" w:color="auto"/>
        <w:left w:val="none" w:sz="0" w:space="0" w:color="auto"/>
        <w:bottom w:val="none" w:sz="0" w:space="0" w:color="auto"/>
        <w:right w:val="none" w:sz="0" w:space="0" w:color="auto"/>
      </w:divBdr>
      <w:divsChild>
        <w:div w:id="1504777175">
          <w:marLeft w:val="0"/>
          <w:marRight w:val="0"/>
          <w:marTop w:val="0"/>
          <w:marBottom w:val="0"/>
          <w:divBdr>
            <w:top w:val="none" w:sz="0" w:space="0" w:color="auto"/>
            <w:left w:val="none" w:sz="0" w:space="0" w:color="auto"/>
            <w:bottom w:val="none" w:sz="0" w:space="0" w:color="auto"/>
            <w:right w:val="none" w:sz="0" w:space="0" w:color="auto"/>
          </w:divBdr>
          <w:divsChild>
            <w:div w:id="482623778">
              <w:marLeft w:val="0"/>
              <w:marRight w:val="0"/>
              <w:marTop w:val="0"/>
              <w:marBottom w:val="0"/>
              <w:divBdr>
                <w:top w:val="none" w:sz="0" w:space="0" w:color="auto"/>
                <w:left w:val="none" w:sz="0" w:space="0" w:color="auto"/>
                <w:bottom w:val="none" w:sz="0" w:space="0" w:color="auto"/>
                <w:right w:val="none" w:sz="0" w:space="0" w:color="auto"/>
              </w:divBdr>
              <w:divsChild>
                <w:div w:id="924145597">
                  <w:marLeft w:val="0"/>
                  <w:marRight w:val="0"/>
                  <w:marTop w:val="0"/>
                  <w:marBottom w:val="0"/>
                  <w:divBdr>
                    <w:top w:val="none" w:sz="0" w:space="0" w:color="auto"/>
                    <w:left w:val="none" w:sz="0" w:space="0" w:color="auto"/>
                    <w:bottom w:val="none" w:sz="0" w:space="0" w:color="auto"/>
                    <w:right w:val="none" w:sz="0" w:space="0" w:color="auto"/>
                  </w:divBdr>
                  <w:divsChild>
                    <w:div w:id="1524319466">
                      <w:marLeft w:val="0"/>
                      <w:marRight w:val="0"/>
                      <w:marTop w:val="0"/>
                      <w:marBottom w:val="0"/>
                      <w:divBdr>
                        <w:top w:val="none" w:sz="0" w:space="0" w:color="auto"/>
                        <w:left w:val="none" w:sz="0" w:space="0" w:color="auto"/>
                        <w:bottom w:val="none" w:sz="0" w:space="0" w:color="auto"/>
                        <w:right w:val="none" w:sz="0" w:space="0" w:color="auto"/>
                      </w:divBdr>
                    </w:div>
                    <w:div w:id="1394815985">
                      <w:marLeft w:val="0"/>
                      <w:marRight w:val="0"/>
                      <w:marTop w:val="0"/>
                      <w:marBottom w:val="0"/>
                      <w:divBdr>
                        <w:top w:val="none" w:sz="0" w:space="0" w:color="auto"/>
                        <w:left w:val="none" w:sz="0" w:space="0" w:color="auto"/>
                        <w:bottom w:val="none" w:sz="0" w:space="0" w:color="auto"/>
                        <w:right w:val="none" w:sz="0" w:space="0" w:color="auto"/>
                      </w:divBdr>
                    </w:div>
                  </w:divsChild>
                </w:div>
                <w:div w:id="414862637">
                  <w:marLeft w:val="0"/>
                  <w:marRight w:val="0"/>
                  <w:marTop w:val="0"/>
                  <w:marBottom w:val="0"/>
                  <w:divBdr>
                    <w:top w:val="none" w:sz="0" w:space="0" w:color="auto"/>
                    <w:left w:val="none" w:sz="0" w:space="0" w:color="auto"/>
                    <w:bottom w:val="none" w:sz="0" w:space="0" w:color="auto"/>
                    <w:right w:val="none" w:sz="0" w:space="0" w:color="auto"/>
                  </w:divBdr>
                  <w:divsChild>
                    <w:div w:id="385033669">
                      <w:marLeft w:val="0"/>
                      <w:marRight w:val="0"/>
                      <w:marTop w:val="0"/>
                      <w:marBottom w:val="0"/>
                      <w:divBdr>
                        <w:top w:val="none" w:sz="0" w:space="0" w:color="auto"/>
                        <w:left w:val="none" w:sz="0" w:space="0" w:color="auto"/>
                        <w:bottom w:val="none" w:sz="0" w:space="0" w:color="auto"/>
                        <w:right w:val="none" w:sz="0" w:space="0" w:color="auto"/>
                      </w:divBdr>
                    </w:div>
                  </w:divsChild>
                </w:div>
                <w:div w:id="1531453493">
                  <w:marLeft w:val="0"/>
                  <w:marRight w:val="0"/>
                  <w:marTop w:val="0"/>
                  <w:marBottom w:val="0"/>
                  <w:divBdr>
                    <w:top w:val="none" w:sz="0" w:space="0" w:color="auto"/>
                    <w:left w:val="none" w:sz="0" w:space="0" w:color="auto"/>
                    <w:bottom w:val="none" w:sz="0" w:space="0" w:color="auto"/>
                    <w:right w:val="none" w:sz="0" w:space="0" w:color="auto"/>
                  </w:divBdr>
                </w:div>
              </w:divsChild>
            </w:div>
            <w:div w:id="72902078">
              <w:marLeft w:val="0"/>
              <w:marRight w:val="0"/>
              <w:marTop w:val="0"/>
              <w:marBottom w:val="0"/>
              <w:divBdr>
                <w:top w:val="none" w:sz="0" w:space="0" w:color="auto"/>
                <w:left w:val="none" w:sz="0" w:space="0" w:color="auto"/>
                <w:bottom w:val="none" w:sz="0" w:space="0" w:color="auto"/>
                <w:right w:val="none" w:sz="0" w:space="0" w:color="auto"/>
              </w:divBdr>
              <w:divsChild>
                <w:div w:id="1812405523">
                  <w:marLeft w:val="0"/>
                  <w:marRight w:val="0"/>
                  <w:marTop w:val="0"/>
                  <w:marBottom w:val="0"/>
                  <w:divBdr>
                    <w:top w:val="none" w:sz="0" w:space="0" w:color="auto"/>
                    <w:left w:val="none" w:sz="0" w:space="0" w:color="auto"/>
                    <w:bottom w:val="none" w:sz="0" w:space="0" w:color="auto"/>
                    <w:right w:val="none" w:sz="0" w:space="0" w:color="auto"/>
                  </w:divBdr>
                  <w:divsChild>
                    <w:div w:id="1272514210">
                      <w:marLeft w:val="0"/>
                      <w:marRight w:val="0"/>
                      <w:marTop w:val="0"/>
                      <w:marBottom w:val="0"/>
                      <w:divBdr>
                        <w:top w:val="none" w:sz="0" w:space="0" w:color="auto"/>
                        <w:left w:val="none" w:sz="0" w:space="0" w:color="auto"/>
                        <w:bottom w:val="none" w:sz="0" w:space="0" w:color="auto"/>
                        <w:right w:val="none" w:sz="0" w:space="0" w:color="auto"/>
                      </w:divBdr>
                      <w:divsChild>
                        <w:div w:id="137333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768273">
      <w:bodyDiv w:val="1"/>
      <w:marLeft w:val="0"/>
      <w:marRight w:val="0"/>
      <w:marTop w:val="0"/>
      <w:marBottom w:val="0"/>
      <w:divBdr>
        <w:top w:val="none" w:sz="0" w:space="0" w:color="auto"/>
        <w:left w:val="none" w:sz="0" w:space="0" w:color="auto"/>
        <w:bottom w:val="none" w:sz="0" w:space="0" w:color="auto"/>
        <w:right w:val="none" w:sz="0" w:space="0" w:color="auto"/>
      </w:divBdr>
      <w:divsChild>
        <w:div w:id="2135560843">
          <w:marLeft w:val="0"/>
          <w:marRight w:val="0"/>
          <w:marTop w:val="0"/>
          <w:marBottom w:val="0"/>
          <w:divBdr>
            <w:top w:val="none" w:sz="0" w:space="0" w:color="auto"/>
            <w:left w:val="none" w:sz="0" w:space="0" w:color="auto"/>
            <w:bottom w:val="none" w:sz="0" w:space="0" w:color="auto"/>
            <w:right w:val="none" w:sz="0" w:space="0" w:color="auto"/>
          </w:divBdr>
          <w:divsChild>
            <w:div w:id="1953508019">
              <w:marLeft w:val="0"/>
              <w:marRight w:val="0"/>
              <w:marTop w:val="0"/>
              <w:marBottom w:val="0"/>
              <w:divBdr>
                <w:top w:val="none" w:sz="0" w:space="0" w:color="auto"/>
                <w:left w:val="none" w:sz="0" w:space="0" w:color="auto"/>
                <w:bottom w:val="none" w:sz="0" w:space="0" w:color="auto"/>
                <w:right w:val="none" w:sz="0" w:space="0" w:color="auto"/>
              </w:divBdr>
              <w:divsChild>
                <w:div w:id="794829926">
                  <w:marLeft w:val="0"/>
                  <w:marRight w:val="0"/>
                  <w:marTop w:val="0"/>
                  <w:marBottom w:val="0"/>
                  <w:divBdr>
                    <w:top w:val="none" w:sz="0" w:space="0" w:color="auto"/>
                    <w:left w:val="none" w:sz="0" w:space="0" w:color="auto"/>
                    <w:bottom w:val="none" w:sz="0" w:space="0" w:color="auto"/>
                    <w:right w:val="none" w:sz="0" w:space="0" w:color="auto"/>
                  </w:divBdr>
                  <w:divsChild>
                    <w:div w:id="1023046810">
                      <w:marLeft w:val="0"/>
                      <w:marRight w:val="0"/>
                      <w:marTop w:val="0"/>
                      <w:marBottom w:val="0"/>
                      <w:divBdr>
                        <w:top w:val="none" w:sz="0" w:space="0" w:color="auto"/>
                        <w:left w:val="none" w:sz="0" w:space="0" w:color="auto"/>
                        <w:bottom w:val="none" w:sz="0" w:space="0" w:color="auto"/>
                        <w:right w:val="none" w:sz="0" w:space="0" w:color="auto"/>
                      </w:divBdr>
                    </w:div>
                    <w:div w:id="1747914357">
                      <w:marLeft w:val="0"/>
                      <w:marRight w:val="0"/>
                      <w:marTop w:val="0"/>
                      <w:marBottom w:val="0"/>
                      <w:divBdr>
                        <w:top w:val="none" w:sz="0" w:space="0" w:color="auto"/>
                        <w:left w:val="none" w:sz="0" w:space="0" w:color="auto"/>
                        <w:bottom w:val="none" w:sz="0" w:space="0" w:color="auto"/>
                        <w:right w:val="none" w:sz="0" w:space="0" w:color="auto"/>
                      </w:divBdr>
                    </w:div>
                  </w:divsChild>
                </w:div>
                <w:div w:id="1242713833">
                  <w:marLeft w:val="0"/>
                  <w:marRight w:val="0"/>
                  <w:marTop w:val="0"/>
                  <w:marBottom w:val="0"/>
                  <w:divBdr>
                    <w:top w:val="none" w:sz="0" w:space="0" w:color="auto"/>
                    <w:left w:val="none" w:sz="0" w:space="0" w:color="auto"/>
                    <w:bottom w:val="none" w:sz="0" w:space="0" w:color="auto"/>
                    <w:right w:val="none" w:sz="0" w:space="0" w:color="auto"/>
                  </w:divBdr>
                  <w:divsChild>
                    <w:div w:id="1889873828">
                      <w:marLeft w:val="0"/>
                      <w:marRight w:val="0"/>
                      <w:marTop w:val="0"/>
                      <w:marBottom w:val="0"/>
                      <w:divBdr>
                        <w:top w:val="none" w:sz="0" w:space="0" w:color="auto"/>
                        <w:left w:val="none" w:sz="0" w:space="0" w:color="auto"/>
                        <w:bottom w:val="none" w:sz="0" w:space="0" w:color="auto"/>
                        <w:right w:val="none" w:sz="0" w:space="0" w:color="auto"/>
                      </w:divBdr>
                    </w:div>
                  </w:divsChild>
                </w:div>
                <w:div w:id="1427576049">
                  <w:marLeft w:val="0"/>
                  <w:marRight w:val="0"/>
                  <w:marTop w:val="0"/>
                  <w:marBottom w:val="0"/>
                  <w:divBdr>
                    <w:top w:val="none" w:sz="0" w:space="0" w:color="auto"/>
                    <w:left w:val="none" w:sz="0" w:space="0" w:color="auto"/>
                    <w:bottom w:val="none" w:sz="0" w:space="0" w:color="auto"/>
                    <w:right w:val="none" w:sz="0" w:space="0" w:color="auto"/>
                  </w:divBdr>
                </w:div>
              </w:divsChild>
            </w:div>
            <w:div w:id="2123382561">
              <w:marLeft w:val="0"/>
              <w:marRight w:val="0"/>
              <w:marTop w:val="0"/>
              <w:marBottom w:val="0"/>
              <w:divBdr>
                <w:top w:val="none" w:sz="0" w:space="0" w:color="auto"/>
                <w:left w:val="none" w:sz="0" w:space="0" w:color="auto"/>
                <w:bottom w:val="none" w:sz="0" w:space="0" w:color="auto"/>
                <w:right w:val="none" w:sz="0" w:space="0" w:color="auto"/>
              </w:divBdr>
              <w:divsChild>
                <w:div w:id="131484777">
                  <w:marLeft w:val="0"/>
                  <w:marRight w:val="0"/>
                  <w:marTop w:val="0"/>
                  <w:marBottom w:val="0"/>
                  <w:divBdr>
                    <w:top w:val="none" w:sz="0" w:space="0" w:color="auto"/>
                    <w:left w:val="none" w:sz="0" w:space="0" w:color="auto"/>
                    <w:bottom w:val="none" w:sz="0" w:space="0" w:color="auto"/>
                    <w:right w:val="none" w:sz="0" w:space="0" w:color="auto"/>
                  </w:divBdr>
                  <w:divsChild>
                    <w:div w:id="791170574">
                      <w:marLeft w:val="0"/>
                      <w:marRight w:val="0"/>
                      <w:marTop w:val="0"/>
                      <w:marBottom w:val="0"/>
                      <w:divBdr>
                        <w:top w:val="none" w:sz="0" w:space="0" w:color="auto"/>
                        <w:left w:val="none" w:sz="0" w:space="0" w:color="auto"/>
                        <w:bottom w:val="none" w:sz="0" w:space="0" w:color="auto"/>
                        <w:right w:val="none" w:sz="0" w:space="0" w:color="auto"/>
                      </w:divBdr>
                      <w:divsChild>
                        <w:div w:id="40129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arn.liberty.edu/webapps/discussionboard/do/message?action=list_messages&amp;course_id=_677750_1&amp;nav=discussion_board_entry&amp;conf_id=_1489339_1&amp;forum_id=_3084260_1&amp;message_id=_51664883_1" TargetMode="External"/><Relationship Id="rId4" Type="http://schemas.openxmlformats.org/officeDocument/2006/relationships/hyperlink" Target="https://learn.liberty.edu/webapps/discussionboard/do/message?action=list_messages&amp;course_id=_677750_1&amp;nav=discussion_board_entry&amp;conf_id=_1489339_1&amp;forum_id=_3084260_1&amp;message_id=_51611898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2020-11-07T03:32:00Z</dcterms:created>
  <dcterms:modified xsi:type="dcterms:W3CDTF">2020-11-07T03:35:00Z</dcterms:modified>
</cp:coreProperties>
</file>